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C36" w:rsidRDefault="00075C36" w:rsidP="00075C36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№4</w:t>
      </w:r>
    </w:p>
    <w:p w:rsidR="00075C36" w:rsidRDefault="00075C36" w:rsidP="00075C36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 xml:space="preserve">Математическая обработка неравноточных измерений </w:t>
      </w:r>
    </w:p>
    <w:p w:rsidR="00075C36" w:rsidRDefault="00075C36" w:rsidP="00075C36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Математическая обработка двойных неравноточных измерений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b/>
          <w:sz w:val="22"/>
        </w:rPr>
        <w:t>Задание 1.</w:t>
      </w:r>
      <w:r>
        <w:rPr>
          <w:sz w:val="22"/>
        </w:rPr>
        <w:t xml:space="preserve"> При исследовании теодолита был измерен угол различным числом приемов. По результатам измерений, приведенным в табл. 4.1, определить наиболее надежное значение угла, погре</w:t>
      </w:r>
      <w:r>
        <w:rPr>
          <w:sz w:val="22"/>
        </w:rPr>
        <w:t>ш</w:t>
      </w:r>
      <w:r>
        <w:rPr>
          <w:sz w:val="22"/>
        </w:rPr>
        <w:t>ность единицы веса, среднюю квадратическую погрешность наиболее надежного значения и произв</w:t>
      </w:r>
      <w:r>
        <w:rPr>
          <w:sz w:val="22"/>
        </w:rPr>
        <w:t>е</w:t>
      </w:r>
      <w:r>
        <w:rPr>
          <w:sz w:val="22"/>
        </w:rPr>
        <w:t>сти оценку точности полученных результатов.</w:t>
      </w:r>
    </w:p>
    <w:p w:rsidR="00075C36" w:rsidRDefault="00075C36" w:rsidP="00075C36">
      <w:pPr>
        <w:ind w:firstLine="454"/>
        <w:jc w:val="right"/>
        <w:rPr>
          <w:sz w:val="22"/>
        </w:rPr>
      </w:pPr>
      <w:r>
        <w:rPr>
          <w:sz w:val="22"/>
        </w:rPr>
        <w:t xml:space="preserve">Таблица 4.1 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sz w:val="22"/>
        </w:rPr>
        <w:t>Результаты серий неравноточных измерений углов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</w:tblGrid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2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3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4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ind w:firstLine="454"/>
        <w:jc w:val="both"/>
        <w:rPr>
          <w:sz w:val="22"/>
        </w:rPr>
      </w:pPr>
    </w:p>
    <w:p w:rsidR="00075C36" w:rsidRDefault="00075C36" w:rsidP="00075C36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табл.4.1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</w:tblGrid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5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6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7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rPr>
          <w:sz w:val="22"/>
          <w:lang w:val="en-US"/>
        </w:rPr>
      </w:pPr>
    </w:p>
    <w:p w:rsidR="00075C36" w:rsidRDefault="00075C36" w:rsidP="00075C36">
      <w:pPr>
        <w:rPr>
          <w:sz w:val="22"/>
          <w:lang w:val="en-US"/>
        </w:rPr>
      </w:pPr>
    </w:p>
    <w:p w:rsidR="00075C36" w:rsidRDefault="00075C36" w:rsidP="00075C36">
      <w:pPr>
        <w:rPr>
          <w:sz w:val="22"/>
          <w:lang w:val="en-US"/>
        </w:rPr>
      </w:pPr>
    </w:p>
    <w:p w:rsidR="00075C36" w:rsidRDefault="00075C36" w:rsidP="00075C36">
      <w:pPr>
        <w:rPr>
          <w:sz w:val="22"/>
          <w:lang w:val="en-US"/>
        </w:rPr>
      </w:pPr>
    </w:p>
    <w:p w:rsidR="00075C36" w:rsidRDefault="00075C36" w:rsidP="00075C36">
      <w:pPr>
        <w:rPr>
          <w:sz w:val="22"/>
          <w:lang w:val="en-US"/>
        </w:rPr>
      </w:pPr>
    </w:p>
    <w:p w:rsidR="00075C36" w:rsidRDefault="00075C36" w:rsidP="00075C36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4.1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</w:tblGrid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9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10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11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12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04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07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ind w:firstLine="454"/>
        <w:jc w:val="right"/>
        <w:rPr>
          <w:sz w:val="22"/>
        </w:rPr>
      </w:pPr>
      <w:r>
        <w:rPr>
          <w:sz w:val="22"/>
        </w:rPr>
        <w:t xml:space="preserve">Продолжение табл. 4.1 </w:t>
      </w:r>
    </w:p>
    <w:tbl>
      <w:tblPr>
        <w:tblW w:w="0" w:type="auto"/>
        <w:tblInd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6"/>
        <w:gridCol w:w="591"/>
        <w:gridCol w:w="545"/>
        <w:gridCol w:w="795"/>
        <w:gridCol w:w="626"/>
        <w:gridCol w:w="591"/>
        <w:gridCol w:w="545"/>
        <w:gridCol w:w="795"/>
        <w:gridCol w:w="626"/>
        <w:gridCol w:w="591"/>
        <w:gridCol w:w="545"/>
        <w:gridCol w:w="795"/>
      </w:tblGrid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13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14</w:t>
            </w:r>
          </w:p>
        </w:tc>
        <w:tc>
          <w:tcPr>
            <w:tcW w:w="2557" w:type="dxa"/>
            <w:gridSpan w:val="4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  <w:tc>
          <w:tcPr>
            <w:tcW w:w="1762" w:type="dxa"/>
            <w:gridSpan w:val="3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Значение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угла</w:t>
            </w:r>
          </w:p>
        </w:tc>
        <w:tc>
          <w:tcPr>
            <w:tcW w:w="79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прие-мов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град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мин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  <w:r>
              <w:rPr>
                <w:sz w:val="22"/>
                <w:vertAlign w:val="superscript"/>
              </w:rPr>
              <w:t>о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z w:val="22"/>
              </w:rPr>
              <w:sym w:font="Symbol" w:char="F0A2"/>
            </w:r>
            <w:r>
              <w:rPr>
                <w:sz w:val="22"/>
              </w:rPr>
              <w:sym w:font="Symbol" w:char="F0A2"/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04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05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626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91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95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rPr>
          <w:sz w:val="22"/>
        </w:rPr>
      </w:pPr>
      <w:r>
        <w:rPr>
          <w:b/>
          <w:sz w:val="22"/>
        </w:rPr>
        <w:t>Задание 2.</w:t>
      </w:r>
      <w:r>
        <w:rPr>
          <w:sz w:val="22"/>
        </w:rPr>
        <w:t xml:space="preserve"> Даны разности суммы превышений в нивелирных ходах в прямом и обратном направлен</w:t>
      </w:r>
      <w:r>
        <w:rPr>
          <w:sz w:val="22"/>
        </w:rPr>
        <w:t>и</w:t>
      </w:r>
      <w:r>
        <w:rPr>
          <w:sz w:val="22"/>
        </w:rPr>
        <w:t>ях и число станций по ходом (табл. 4.2). Определить среднюю квадратическую погрешность ед</w:t>
      </w:r>
      <w:r>
        <w:rPr>
          <w:sz w:val="22"/>
        </w:rPr>
        <w:t>и</w:t>
      </w:r>
      <w:r>
        <w:rPr>
          <w:sz w:val="22"/>
        </w:rPr>
        <w:t xml:space="preserve">ницы веса. </w:t>
      </w:r>
    </w:p>
    <w:p w:rsidR="00075C36" w:rsidRDefault="00075C36" w:rsidP="00075C36">
      <w:pPr>
        <w:ind w:firstLine="454"/>
        <w:jc w:val="both"/>
        <w:rPr>
          <w:b/>
          <w:sz w:val="22"/>
        </w:rPr>
      </w:pPr>
      <w:r>
        <w:rPr>
          <w:b/>
          <w:sz w:val="22"/>
        </w:rPr>
        <w:t>Методические рекомендации: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Задача оценки точности ряда неравноточных измерений возникает, если эти измерения выполн</w:t>
      </w:r>
      <w:r>
        <w:rPr>
          <w:sz w:val="22"/>
        </w:rPr>
        <w:t>е</w:t>
      </w:r>
      <w:r>
        <w:rPr>
          <w:sz w:val="22"/>
        </w:rPr>
        <w:t>ны приборами различной точности, приборами одинаковой точности, но разным числом приемов или повторений, а также при измерениях, выполненных в существенно различных условиях.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При неравноточных измерениях в процессе обработки необходимо учитывать достоинство каждого результата в смысле близости его к точному значению измеряемой величины. Достоинство р</w:t>
      </w:r>
      <w:r>
        <w:rPr>
          <w:sz w:val="22"/>
        </w:rPr>
        <w:t>е</w:t>
      </w:r>
      <w:r>
        <w:rPr>
          <w:sz w:val="22"/>
        </w:rPr>
        <w:t>зультата можно охарактеризовать числом, называемым  в е с о м  этого результата.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За вес непосредственного измерения принята величина, обратно пропорциональная квадрату средней квадратической погрешности данного измерения: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30"/>
          <w:sz w:val="22"/>
        </w:rPr>
        <w:object w:dxaOrig="85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34.1pt" o:ole="" fillcolor="window">
            <v:imagedata r:id="rId5" o:title=""/>
          </v:shape>
          <o:OLEObject Type="Embed" ProgID="Equation.3" ShapeID="_x0000_i1025" DrawAspect="Content" ObjectID="_1672637810" r:id="rId6"/>
        </w:object>
      </w:r>
      <w:r>
        <w:rPr>
          <w:sz w:val="22"/>
        </w:rPr>
        <w:t>;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 xml:space="preserve">где с – коэффициент пропорциональности, выбираемый так, чтобы веса выражались удобными для вычислений величинами. </w:t>
      </w:r>
    </w:p>
    <w:p w:rsidR="00075C36" w:rsidRDefault="00075C36" w:rsidP="00075C36">
      <w:pPr>
        <w:jc w:val="right"/>
        <w:rPr>
          <w:sz w:val="22"/>
        </w:rPr>
      </w:pPr>
      <w:r>
        <w:rPr>
          <w:sz w:val="22"/>
        </w:rPr>
        <w:t xml:space="preserve">Таблица 4.2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 w:val="restart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мер хода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2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3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4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</w:tr>
    </w:tbl>
    <w:p w:rsidR="00075C36" w:rsidRDefault="00075C36" w:rsidP="00075C36">
      <w:pPr>
        <w:jc w:val="right"/>
        <w:rPr>
          <w:sz w:val="22"/>
        </w:rPr>
      </w:pPr>
    </w:p>
    <w:p w:rsidR="00075C36" w:rsidRDefault="00075C36" w:rsidP="00075C36">
      <w:pPr>
        <w:jc w:val="right"/>
        <w:rPr>
          <w:sz w:val="22"/>
        </w:rPr>
      </w:pPr>
      <w:r>
        <w:rPr>
          <w:sz w:val="22"/>
        </w:rPr>
        <w:t xml:space="preserve">Продолжение табл. 4.2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 w:val="restart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мер хода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5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6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7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rPr>
          <w:sz w:val="22"/>
        </w:rPr>
      </w:pPr>
    </w:p>
    <w:p w:rsidR="00075C36" w:rsidRDefault="00075C36" w:rsidP="00075C36">
      <w:pPr>
        <w:jc w:val="right"/>
        <w:rPr>
          <w:sz w:val="22"/>
        </w:rPr>
      </w:pPr>
      <w:r>
        <w:rPr>
          <w:sz w:val="22"/>
        </w:rPr>
        <w:lastRenderedPageBreak/>
        <w:t xml:space="preserve">Продолжение табл. 4.2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 w:val="restart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мер хода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9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10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11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12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jc w:val="right"/>
        <w:rPr>
          <w:sz w:val="22"/>
        </w:rPr>
      </w:pPr>
      <w:r>
        <w:rPr>
          <w:sz w:val="22"/>
        </w:rPr>
        <w:t xml:space="preserve">Продолжение табл. 4.2 </w:t>
      </w:r>
    </w:p>
    <w:tbl>
      <w:tblPr>
        <w:tblW w:w="0" w:type="auto"/>
        <w:tblInd w:w="1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080"/>
        <w:gridCol w:w="1080"/>
        <w:gridCol w:w="1080"/>
        <w:gridCol w:w="1080"/>
        <w:gridCol w:w="1080"/>
        <w:gridCol w:w="1080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 w:val="restart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мер хода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13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14</w:t>
            </w:r>
          </w:p>
        </w:tc>
        <w:tc>
          <w:tcPr>
            <w:tcW w:w="2160" w:type="dxa"/>
            <w:gridSpan w:val="2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Вариант 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Merge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Раз-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ность, мм</w:t>
            </w:r>
          </w:p>
        </w:tc>
        <w:tc>
          <w:tcPr>
            <w:tcW w:w="10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-9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+11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+4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+2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-10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-3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-6</w:t>
            </w:r>
          </w:p>
        </w:tc>
        <w:tc>
          <w:tcPr>
            <w:tcW w:w="1080" w:type="dxa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</w:tbl>
    <w:p w:rsidR="00075C36" w:rsidRDefault="00075C36" w:rsidP="00075C36">
      <w:pPr>
        <w:ind w:firstLine="454"/>
        <w:jc w:val="both"/>
        <w:rPr>
          <w:sz w:val="22"/>
        </w:rPr>
      </w:pP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1) Общая арифметическая средина для ряда неравноточных измерении вычисляется по формуле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30"/>
          <w:sz w:val="22"/>
        </w:rPr>
        <w:object w:dxaOrig="3360" w:dyaOrig="680">
          <v:shape id="_x0000_i1026" type="#_x0000_t75" style="width:167.8pt;height:34.1pt" o:ole="" fillcolor="window">
            <v:imagedata r:id="rId7" o:title=""/>
          </v:shape>
          <o:OLEObject Type="Embed" ProgID="Equation.3" ShapeID="_x0000_i1026" DrawAspect="Content" ObjectID="_1672637811" r:id="rId8"/>
        </w:objec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 xml:space="preserve">или 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28"/>
          <w:sz w:val="22"/>
        </w:rPr>
        <w:object w:dxaOrig="1320" w:dyaOrig="660">
          <v:shape id="_x0000_i1027" type="#_x0000_t75" style="width:66.05pt;height:33pt" o:ole="" fillcolor="window">
            <v:imagedata r:id="rId9" o:title=""/>
          </v:shape>
          <o:OLEObject Type="Embed" ProgID="Equation.3" ShapeID="_x0000_i1027" DrawAspect="Content" ObjectID="_1672637812" r:id="rId10"/>
        </w:object>
      </w:r>
      <w:r>
        <w:rPr>
          <w:sz w:val="22"/>
        </w:rPr>
        <w:t>,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2"/>
          <w:sz w:val="22"/>
        </w:rPr>
        <w:object w:dxaOrig="1180" w:dyaOrig="360">
          <v:shape id="_x0000_i1028" type="#_x0000_t75" style="width:59pt;height:17.85pt" o:ole="" fillcolor="window">
            <v:imagedata r:id="rId11" o:title=""/>
          </v:shape>
          <o:OLEObject Type="Embed" ProgID="Equation.3" ShapeID="_x0000_i1028" DrawAspect="Content" ObjectID="_1672637813" r:id="rId12"/>
        </w:object>
      </w:r>
      <w:r>
        <w:rPr>
          <w:sz w:val="22"/>
        </w:rPr>
        <w:t xml:space="preserve"> - уклонение измерений от наименьшего результата.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position w:val="-12"/>
          <w:sz w:val="22"/>
        </w:rPr>
        <w:object w:dxaOrig="940" w:dyaOrig="360">
          <v:shape id="_x0000_i1029" type="#_x0000_t75" style="width:47.1pt;height:17.85pt" o:ole="" fillcolor="window">
            <v:imagedata r:id="rId13" o:title=""/>
          </v:shape>
          <o:OLEObject Type="Embed" ProgID="Equation.3" ShapeID="_x0000_i1029" DrawAspect="Content" ObjectID="_1672637814" r:id="rId14"/>
        </w:object>
      </w:r>
      <w:r>
        <w:rPr>
          <w:sz w:val="22"/>
        </w:rPr>
        <w:t>;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2) средняя квадратическая погрешность единицы веса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26"/>
          <w:sz w:val="22"/>
        </w:rPr>
        <w:object w:dxaOrig="1200" w:dyaOrig="700">
          <v:shape id="_x0000_i1030" type="#_x0000_t75" style="width:60.1pt;height:35.2pt" o:ole="" fillcolor="window">
            <v:imagedata r:id="rId15" o:title=""/>
          </v:shape>
          <o:OLEObject Type="Embed" ProgID="Equation.3" ShapeID="_x0000_i1030" DrawAspect="Content" ObjectID="_1672637815" r:id="rId16"/>
        </w:object>
      </w:r>
      <w:r>
        <w:rPr>
          <w:sz w:val="22"/>
        </w:rPr>
        <w:t>,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  <w:sz w:val="22"/>
        </w:rPr>
        <w:object w:dxaOrig="1080" w:dyaOrig="340">
          <v:shape id="_x0000_i1031" type="#_x0000_t75" style="width:54.15pt;height:16.8pt" o:ole="" fillcolor="window">
            <v:imagedata r:id="rId17" o:title=""/>
          </v:shape>
          <o:OLEObject Type="Embed" ProgID="Equation.3" ShapeID="_x0000_i1031" DrawAspect="Content" ObjectID="_1672637816" r:id="rId18"/>
        </w:object>
      </w:r>
      <w:r>
        <w:rPr>
          <w:sz w:val="22"/>
        </w:rPr>
        <w:t xml:space="preserve"> - вероятнейшие погрешности;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3) Погрешность вычисления погрешности единицы веса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34"/>
          <w:sz w:val="22"/>
        </w:rPr>
        <w:object w:dxaOrig="1560" w:dyaOrig="720">
          <v:shape id="_x0000_i1032" type="#_x0000_t75" style="width:77.95pt;height:36.25pt" o:ole="" fillcolor="window">
            <v:imagedata r:id="rId19" o:title=""/>
          </v:shape>
          <o:OLEObject Type="Embed" ProgID="Equation.3" ShapeID="_x0000_i1032" DrawAspect="Content" ObjectID="_1672637817" r:id="rId20"/>
        </w:object>
      </w:r>
      <w:r>
        <w:rPr>
          <w:sz w:val="22"/>
        </w:rPr>
        <w:t>;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4) СКП общей арифметической середины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32"/>
          <w:sz w:val="22"/>
        </w:rPr>
        <w:object w:dxaOrig="1060" w:dyaOrig="700">
          <v:shape id="_x0000_i1033" type="#_x0000_t75" style="width:53.05pt;height:35.2pt" o:ole="" fillcolor="window">
            <v:imagedata r:id="rId21" o:title=""/>
          </v:shape>
          <o:OLEObject Type="Embed" ProgID="Equation.3" ShapeID="_x0000_i1033" DrawAspect="Content" ObjectID="_1672637818" r:id="rId22"/>
        </w:object>
      </w:r>
      <w:r>
        <w:rPr>
          <w:sz w:val="22"/>
        </w:rPr>
        <w:t>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При расчете общей арифметической середины контролем вычислений служат равенства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10"/>
          <w:sz w:val="22"/>
        </w:rPr>
        <w:object w:dxaOrig="820" w:dyaOrig="340">
          <v:shape id="_x0000_i1034" type="#_x0000_t75" style="width:41.15pt;height:16.8pt" o:ole="" fillcolor="window">
            <v:imagedata r:id="rId23" o:title=""/>
          </v:shape>
          <o:OLEObject Type="Embed" ProgID="Equation.3" ShapeID="_x0000_i1034" DrawAspect="Content" ObjectID="_1672637819" r:id="rId24"/>
        </w:object>
      </w:r>
      <w:r>
        <w:rPr>
          <w:sz w:val="22"/>
        </w:rPr>
        <w:t>,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28"/>
          <w:sz w:val="22"/>
        </w:rPr>
        <w:object w:dxaOrig="2060" w:dyaOrig="720">
          <v:shape id="_x0000_i1035" type="#_x0000_t75" style="width:102.85pt;height:36.25pt" o:ole="" fillcolor="window">
            <v:imagedata r:id="rId25" o:title=""/>
          </v:shape>
          <o:OLEObject Type="Embed" ProgID="Equation.3" ShapeID="_x0000_i1035" DrawAspect="Content" ObjectID="_1672637820" r:id="rId26"/>
        </w:object>
      </w:r>
      <w:r>
        <w:rPr>
          <w:sz w:val="22"/>
        </w:rPr>
        <w:t>;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lastRenderedPageBreak/>
        <w:t xml:space="preserve">5) Если имеется ряд однородных неравноточных измерений </w:t>
      </w:r>
      <w:r>
        <w:rPr>
          <w:position w:val="-10"/>
          <w:sz w:val="22"/>
        </w:rPr>
        <w:object w:dxaOrig="200" w:dyaOrig="340">
          <v:shape id="_x0000_i1036" type="#_x0000_t75" style="width:9.75pt;height:16.8pt" o:ole="" fillcolor="window">
            <v:imagedata r:id="rId27" o:title=""/>
          </v:shape>
          <o:OLEObject Type="Embed" ProgID="Equation.3" ShapeID="_x0000_i1036" DrawAspect="Content" ObjectID="_1672637821" r:id="rId28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220" w:dyaOrig="340">
          <v:shape id="_x0000_i1037" type="#_x0000_t75" style="width:10.85pt;height:16.8pt" o:ole="" fillcolor="window">
            <v:imagedata r:id="rId29" o:title=""/>
          </v:shape>
          <o:OLEObject Type="Embed" ProgID="Equation.3" ShapeID="_x0000_i1037" DrawAspect="Content" ObjectID="_1672637822" r:id="rId30"/>
        </w:object>
      </w:r>
      <w:r>
        <w:rPr>
          <w:sz w:val="22"/>
        </w:rPr>
        <w:t xml:space="preserve">, то при обработке результатов измерений используются их разности </w:t>
      </w:r>
      <w:r>
        <w:rPr>
          <w:position w:val="-10"/>
          <w:sz w:val="22"/>
        </w:rPr>
        <w:object w:dxaOrig="1040" w:dyaOrig="340">
          <v:shape id="_x0000_i1038" type="#_x0000_t75" style="width:51.95pt;height:16.8pt" o:ole="" fillcolor="window">
            <v:imagedata r:id="rId31" o:title=""/>
          </v:shape>
          <o:OLEObject Type="Embed" ProgID="Equation.3" ShapeID="_x0000_i1038" DrawAspect="Content" ObjectID="_1672637823" r:id="rId32"/>
        </w:object>
      </w:r>
      <w:r>
        <w:rPr>
          <w:sz w:val="22"/>
        </w:rPr>
        <w:t xml:space="preserve"> как случайные погрешности измерений с весами Р</w:t>
      </w:r>
      <w:r>
        <w:rPr>
          <w:sz w:val="22"/>
          <w:vertAlign w:val="superscript"/>
          <w:lang w:val="en-US"/>
        </w:rPr>
        <w:t>i</w:t>
      </w:r>
      <w:r>
        <w:rPr>
          <w:sz w:val="22"/>
        </w:rPr>
        <w:t xml:space="preserve">/2 </w:t>
      </w:r>
    </w:p>
    <w:p w:rsidR="00075C36" w:rsidRDefault="00075C36" w:rsidP="00075C36">
      <w:pPr>
        <w:jc w:val="both"/>
        <w:rPr>
          <w:sz w:val="22"/>
        </w:rPr>
      </w:pPr>
      <w:r>
        <w:rPr>
          <w:sz w:val="22"/>
        </w:rPr>
        <w:t xml:space="preserve">(измерения каждой пары равноточны </w:t>
      </w:r>
      <w:r>
        <w:rPr>
          <w:position w:val="-10"/>
          <w:sz w:val="22"/>
        </w:rPr>
        <w:object w:dxaOrig="1100" w:dyaOrig="340">
          <v:shape id="_x0000_i1039" type="#_x0000_t75" style="width:55.2pt;height:16.8pt" o:ole="" fillcolor="window">
            <v:imagedata r:id="rId33" o:title=""/>
          </v:shape>
          <o:OLEObject Type="Embed" ProgID="Equation.3" ShapeID="_x0000_i1039" DrawAspect="Content" ObjectID="_1672637824" r:id="rId34"/>
        </w:object>
      </w:r>
      <w:r>
        <w:rPr>
          <w:sz w:val="22"/>
        </w:rPr>
        <w:t>).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Если разность парных измерений содержит систематические погрешности, их необходимо пре</w:t>
      </w:r>
      <w:r>
        <w:rPr>
          <w:sz w:val="22"/>
        </w:rPr>
        <w:t>д</w:t>
      </w:r>
      <w:r>
        <w:rPr>
          <w:sz w:val="22"/>
        </w:rPr>
        <w:t xml:space="preserve">варительно исключить. 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Для этого подсчитывается среднее значение систематической погрешности.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28"/>
          <w:sz w:val="22"/>
        </w:rPr>
        <w:object w:dxaOrig="859" w:dyaOrig="660">
          <v:shape id="_x0000_i1040" type="#_x0000_t75" style="width:42.75pt;height:33pt" o:ole="" fillcolor="window">
            <v:imagedata r:id="rId35" o:title=""/>
          </v:shape>
          <o:OLEObject Type="Embed" ProgID="Equation.3" ShapeID="_x0000_i1040" DrawAspect="Content" ObjectID="_1672637825" r:id="rId36"/>
        </w:objec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Критерием допустимости абсолютного значения алгебраической суммы разностей двойных н</w:t>
      </w:r>
      <w:r>
        <w:rPr>
          <w:sz w:val="22"/>
        </w:rPr>
        <w:t>е</w:t>
      </w:r>
      <w:r>
        <w:rPr>
          <w:sz w:val="22"/>
        </w:rPr>
        <w:t>равноточных измерений, может служить неравенство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18"/>
          <w:sz w:val="22"/>
        </w:rPr>
        <w:object w:dxaOrig="1939" w:dyaOrig="480">
          <v:shape id="_x0000_i1041" type="#_x0000_t75" style="width:96.9pt;height:23.8pt" o:ole="" fillcolor="window">
            <v:imagedata r:id="rId37" o:title=""/>
          </v:shape>
          <o:OLEObject Type="Embed" ProgID="Equation.3" ShapeID="_x0000_i1041" DrawAspect="Content" ObjectID="_1672637826" r:id="rId38"/>
        </w:object>
      </w:r>
      <w:r>
        <w:rPr>
          <w:sz w:val="22"/>
        </w:rPr>
        <w:t xml:space="preserve"> .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Средняя квадратическая погрешность единицы веса рассчитывается по следующим формулам:</w:t>
      </w:r>
    </w:p>
    <w:p w:rsidR="00075C36" w:rsidRDefault="00075C36" w:rsidP="00075C36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в случае отсутствие систематических погрешностей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26"/>
          <w:sz w:val="22"/>
        </w:rPr>
        <w:object w:dxaOrig="1180" w:dyaOrig="700">
          <v:shape id="_x0000_i1042" type="#_x0000_t75" style="width:59pt;height:35.2pt" o:ole="" fillcolor="window">
            <v:imagedata r:id="rId39" o:title=""/>
          </v:shape>
          <o:OLEObject Type="Embed" ProgID="Equation.3" ShapeID="_x0000_i1042" DrawAspect="Content" ObjectID="_1672637827" r:id="rId40"/>
        </w:object>
      </w:r>
      <w:r>
        <w:rPr>
          <w:sz w:val="22"/>
        </w:rPr>
        <w:t>;</w:t>
      </w:r>
    </w:p>
    <w:p w:rsidR="00075C36" w:rsidRDefault="00075C36" w:rsidP="00075C36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в случае исключения систематических погрешностей</w:t>
      </w:r>
    </w:p>
    <w:p w:rsidR="00075C36" w:rsidRDefault="00075C36" w:rsidP="00075C36">
      <w:pPr>
        <w:ind w:firstLine="454"/>
        <w:jc w:val="center"/>
        <w:rPr>
          <w:sz w:val="22"/>
        </w:rPr>
      </w:pPr>
      <w:r>
        <w:rPr>
          <w:position w:val="-30"/>
          <w:sz w:val="22"/>
        </w:rPr>
        <w:object w:dxaOrig="1380" w:dyaOrig="740">
          <v:shape id="_x0000_i1043" type="#_x0000_t75" style="width:68.75pt;height:36.8pt" o:ole="" fillcolor="window">
            <v:imagedata r:id="rId41" o:title=""/>
          </v:shape>
          <o:OLEObject Type="Embed" ProgID="Equation.3" ShapeID="_x0000_i1043" DrawAspect="Content" ObjectID="_1672637828" r:id="rId42"/>
        </w:object>
      </w:r>
      <w:r>
        <w:rPr>
          <w:sz w:val="22"/>
        </w:rPr>
        <w:t>,</w:t>
      </w: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  <w:sz w:val="22"/>
        </w:rPr>
        <w:object w:dxaOrig="1060" w:dyaOrig="340">
          <v:shape id="_x0000_i1044" type="#_x0000_t75" style="width:53.05pt;height:16.8pt" o:ole="" fillcolor="window">
            <v:imagedata r:id="rId43" o:title=""/>
          </v:shape>
          <o:OLEObject Type="Embed" ProgID="Equation.3" ShapeID="_x0000_i1044" DrawAspect="Content" ObjectID="_1672637829" r:id="rId44"/>
        </w:object>
      </w:r>
      <w:r>
        <w:rPr>
          <w:sz w:val="22"/>
        </w:rPr>
        <w:t>.</w:t>
      </w:r>
    </w:p>
    <w:p w:rsidR="00075C36" w:rsidRDefault="00075C36" w:rsidP="00075C36">
      <w:pPr>
        <w:ind w:firstLine="454"/>
        <w:jc w:val="both"/>
        <w:rPr>
          <w:sz w:val="22"/>
        </w:rPr>
      </w:pPr>
    </w:p>
    <w:p w:rsidR="00075C36" w:rsidRDefault="00075C36" w:rsidP="00075C36">
      <w:pPr>
        <w:ind w:firstLine="454"/>
        <w:jc w:val="both"/>
        <w:rPr>
          <w:sz w:val="22"/>
        </w:rPr>
      </w:pPr>
      <w:r>
        <w:rPr>
          <w:sz w:val="22"/>
        </w:rPr>
        <w:t>Вычисления рекомендуется проводить в формулярах следующего вида: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0"/>
        <w:gridCol w:w="980"/>
        <w:gridCol w:w="1260"/>
        <w:gridCol w:w="540"/>
        <w:gridCol w:w="540"/>
        <w:gridCol w:w="720"/>
        <w:gridCol w:w="720"/>
        <w:gridCol w:w="720"/>
        <w:gridCol w:w="720"/>
        <w:gridCol w:w="720"/>
        <w:gridCol w:w="1491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Номер измер.</w:t>
            </w:r>
          </w:p>
        </w:tc>
        <w:tc>
          <w:tcPr>
            <w:tcW w:w="9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Знач</w:t>
            </w:r>
            <w:r>
              <w:rPr>
                <w:sz w:val="22"/>
              </w:rPr>
              <w:t>е</w:t>
            </w:r>
            <w:r>
              <w:rPr>
                <w:sz w:val="22"/>
              </w:rPr>
              <w:t>н-ие у</w:t>
            </w:r>
            <w:r>
              <w:rPr>
                <w:sz w:val="22"/>
              </w:rPr>
              <w:t>г</w:t>
            </w:r>
            <w:r>
              <w:rPr>
                <w:sz w:val="22"/>
              </w:rPr>
              <w:t>ла</w:t>
            </w:r>
          </w:p>
        </w:tc>
        <w:tc>
          <w:tcPr>
            <w:tcW w:w="126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приемов</w:t>
            </w: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</w:t>
            </w: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79">
                <v:shape id="_x0000_i1045" type="#_x0000_t75" style="width:9.75pt;height:14.1pt" o:ole="" fillcolor="window">
                  <v:imagedata r:id="rId45" o:title=""/>
                </v:shape>
                <o:OLEObject Type="Embed" ProgID="Equation.3" ShapeID="_x0000_i1045" DrawAspect="Content" ObjectID="_1672637830" r:id="rId46"/>
              </w:object>
            </w: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320" w:dyaOrig="279">
                <v:shape id="_x0000_i1046" type="#_x0000_t75" style="width:16.25pt;height:14.1pt" o:ole="" fillcolor="window">
                  <v:imagedata r:id="rId47" o:title=""/>
                </v:shape>
                <o:OLEObject Type="Embed" ProgID="Equation.3" ShapeID="_x0000_i1046" DrawAspect="Content" ObjectID="_1672637831" r:id="rId48"/>
              </w:object>
            </w: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440" w:dyaOrig="279">
                <v:shape id="_x0000_i1047" type="#_x0000_t75" style="width:22.2pt;height:14.1pt" o:ole="" fillcolor="window">
                  <v:imagedata r:id="rId49" o:title=""/>
                </v:shape>
                <o:OLEObject Type="Embed" ProgID="Equation.3" ShapeID="_x0000_i1047" DrawAspect="Content" ObjectID="_1672637832" r:id="rId50"/>
              </w:object>
            </w: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20">
                <v:shape id="_x0000_i1048" type="#_x0000_t75" style="width:9.75pt;height:10.85pt" o:ole="" fillcolor="window">
                  <v:imagedata r:id="rId51" o:title=""/>
                </v:shape>
                <o:OLEObject Type="Embed" ProgID="Equation.3" ShapeID="_x0000_i1048" DrawAspect="Content" ObjectID="_1672637833" r:id="rId52"/>
              </w:object>
            </w: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360" w:dyaOrig="279">
                <v:shape id="_x0000_i1049" type="#_x0000_t75" style="width:17.85pt;height:14.1pt" o:ole="" fillcolor="window">
                  <v:imagedata r:id="rId53" o:title=""/>
                </v:shape>
                <o:OLEObject Type="Embed" ProgID="Equation.3" ShapeID="_x0000_i1049" DrawAspect="Content" ObjectID="_1672637834" r:id="rId54"/>
              </w:object>
            </w: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499" w:dyaOrig="279">
                <v:shape id="_x0000_i1050" type="#_x0000_t75" style="width:24.9pt;height:14.1pt" o:ole="" fillcolor="window">
                  <v:imagedata r:id="rId55" o:title=""/>
                </v:shape>
                <o:OLEObject Type="Embed" ProgID="Equation.3" ShapeID="_x0000_i1050" DrawAspect="Content" ObjectID="_1672637835" r:id="rId56"/>
              </w:object>
            </w:r>
          </w:p>
        </w:tc>
        <w:tc>
          <w:tcPr>
            <w:tcW w:w="149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Вычисление </w: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49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49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98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26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54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49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widowControl w:val="0"/>
        <w:ind w:firstLine="454"/>
        <w:jc w:val="both"/>
        <w:rPr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6"/>
        <w:gridCol w:w="1101"/>
        <w:gridCol w:w="1175"/>
        <w:gridCol w:w="1768"/>
        <w:gridCol w:w="900"/>
        <w:gridCol w:w="1208"/>
        <w:gridCol w:w="1779"/>
      </w:tblGrid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Номер хода</w:t>
            </w:r>
          </w:p>
        </w:tc>
        <w:tc>
          <w:tcPr>
            <w:tcW w:w="110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Разность, 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d</w:t>
            </w:r>
            <w:r>
              <w:rPr>
                <w:sz w:val="22"/>
              </w:rPr>
              <w:t>, мм</w:t>
            </w:r>
          </w:p>
        </w:tc>
        <w:tc>
          <w:tcPr>
            <w:tcW w:w="117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Число станций</w:t>
            </w:r>
          </w:p>
        </w:tc>
        <w:tc>
          <w:tcPr>
            <w:tcW w:w="176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Вес разности, </w:t>
            </w:r>
          </w:p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</w:t>
            </w:r>
          </w:p>
        </w:tc>
        <w:tc>
          <w:tcPr>
            <w:tcW w:w="90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  <w:r>
              <w:rPr>
                <w:position w:val="-6"/>
                <w:sz w:val="22"/>
                <w:lang w:val="en-US"/>
              </w:rPr>
              <w:object w:dxaOrig="320" w:dyaOrig="279">
                <v:shape id="_x0000_i1051" type="#_x0000_t75" style="width:16.25pt;height:14.1pt" o:ole="" fillcolor="window">
                  <v:imagedata r:id="rId57" o:title=""/>
                </v:shape>
                <o:OLEObject Type="Embed" ProgID="Equation.3" ShapeID="_x0000_i1051" DrawAspect="Content" ObjectID="_1672637836" r:id="rId58"/>
              </w:object>
            </w:r>
          </w:p>
        </w:tc>
        <w:tc>
          <w:tcPr>
            <w:tcW w:w="120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  <w:r>
              <w:rPr>
                <w:position w:val="-6"/>
                <w:sz w:val="22"/>
                <w:lang w:val="en-US"/>
              </w:rPr>
              <w:object w:dxaOrig="440" w:dyaOrig="279">
                <v:shape id="_x0000_i1052" type="#_x0000_t75" style="width:22.2pt;height:14.1pt" o:ole="" fillcolor="window">
                  <v:imagedata r:id="rId59" o:title=""/>
                </v:shape>
                <o:OLEObject Type="Embed" ProgID="Equation.3" ShapeID="_x0000_i1052" DrawAspect="Content" ObjectID="_1672637837" r:id="rId60"/>
              </w:object>
            </w:r>
          </w:p>
        </w:tc>
        <w:tc>
          <w:tcPr>
            <w:tcW w:w="1779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520" w:dyaOrig="340">
                <v:shape id="_x0000_i1053" type="#_x0000_t75" style="width:26pt;height:16.8pt" o:ole="" fillcolor="window">
                  <v:imagedata r:id="rId61" o:title=""/>
                </v:shape>
                <o:OLEObject Type="Embed" ProgID="Equation.3" ShapeID="_x0000_i1053" DrawAspect="Content" ObjectID="_1672637838" r:id="rId62"/>
              </w:object>
            </w: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10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17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76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90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20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779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  <w:tr w:rsidR="00075C36" w:rsidTr="00247E8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101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175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176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  <w:tc>
          <w:tcPr>
            <w:tcW w:w="900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208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779" w:type="dxa"/>
            <w:vAlign w:val="center"/>
          </w:tcPr>
          <w:p w:rsidR="00075C36" w:rsidRDefault="00075C36" w:rsidP="00247E88">
            <w:pPr>
              <w:jc w:val="center"/>
              <w:rPr>
                <w:sz w:val="22"/>
              </w:rPr>
            </w:pPr>
          </w:p>
        </w:tc>
      </w:tr>
    </w:tbl>
    <w:p w:rsidR="00075C36" w:rsidRDefault="00075C36" w:rsidP="00075C36">
      <w:pPr>
        <w:ind w:firstLine="454"/>
        <w:jc w:val="both"/>
        <w:rPr>
          <w:sz w:val="22"/>
        </w:rPr>
      </w:pPr>
    </w:p>
    <w:p w:rsidR="00075C36" w:rsidRDefault="00075C36" w:rsidP="00075C36">
      <w:pPr>
        <w:widowControl w:val="0"/>
        <w:ind w:firstLine="454"/>
        <w:jc w:val="both"/>
        <w:rPr>
          <w:rFonts w:eastAsia="Batang"/>
          <w:sz w:val="22"/>
          <w:lang w:eastAsia="ko-KR"/>
        </w:rPr>
      </w:pPr>
      <w:r>
        <w:rPr>
          <w:b/>
          <w:sz w:val="22"/>
        </w:rPr>
        <w:t xml:space="preserve">Осн: </w:t>
      </w:r>
      <w:r>
        <w:rPr>
          <w:rFonts w:eastAsia="Batang"/>
          <w:sz w:val="22"/>
          <w:lang w:eastAsia="ko-KR"/>
        </w:rPr>
        <w:t>1.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61-63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, 3.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15-21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.</w:t>
      </w:r>
    </w:p>
    <w:p w:rsidR="00075C36" w:rsidRDefault="00075C36" w:rsidP="00075C36">
      <w:pPr>
        <w:pStyle w:val="1"/>
        <w:jc w:val="left"/>
        <w:rPr>
          <w:sz w:val="22"/>
        </w:rPr>
      </w:pPr>
      <w:r>
        <w:rPr>
          <w:sz w:val="22"/>
        </w:rPr>
        <w:t xml:space="preserve">        Контрольные вопросы:</w:t>
      </w:r>
    </w:p>
    <w:p w:rsidR="00075C36" w:rsidRDefault="00075C36" w:rsidP="00075C36">
      <w:pPr>
        <w:ind w:firstLine="454"/>
        <w:rPr>
          <w:sz w:val="22"/>
        </w:rPr>
      </w:pPr>
      <w:r>
        <w:rPr>
          <w:sz w:val="22"/>
        </w:rPr>
        <w:t>1) Что такое вес измерения?</w:t>
      </w:r>
    </w:p>
    <w:p w:rsidR="00075C36" w:rsidRDefault="00075C36" w:rsidP="00075C36">
      <w:pPr>
        <w:ind w:firstLine="454"/>
        <w:rPr>
          <w:sz w:val="22"/>
        </w:rPr>
      </w:pPr>
      <w:r>
        <w:rPr>
          <w:sz w:val="22"/>
        </w:rPr>
        <w:t>2) Как вычисляется общая арифметическая середина?</w:t>
      </w:r>
    </w:p>
    <w:p w:rsidR="00075C36" w:rsidRDefault="00075C36" w:rsidP="00075C36">
      <w:pPr>
        <w:ind w:firstLine="454"/>
        <w:rPr>
          <w:sz w:val="22"/>
        </w:rPr>
      </w:pPr>
      <w:r>
        <w:rPr>
          <w:sz w:val="22"/>
        </w:rPr>
        <w:t>3) Что такое СКП единицы веса?</w:t>
      </w:r>
    </w:p>
    <w:p w:rsidR="00075C36" w:rsidRDefault="00075C36" w:rsidP="00075C36">
      <w:pPr>
        <w:ind w:firstLine="454"/>
        <w:rPr>
          <w:sz w:val="22"/>
        </w:rPr>
      </w:pPr>
      <w:r>
        <w:rPr>
          <w:sz w:val="22"/>
        </w:rPr>
        <w:t>4) Какой контроль вычислений при обработке неравноточных измерений?</w:t>
      </w:r>
    </w:p>
    <w:p w:rsidR="00075C36" w:rsidRDefault="00075C36" w:rsidP="00075C36">
      <w:pPr>
        <w:ind w:firstLine="454"/>
        <w:rPr>
          <w:sz w:val="22"/>
        </w:rPr>
      </w:pPr>
      <w:r>
        <w:rPr>
          <w:sz w:val="22"/>
        </w:rPr>
        <w:t>5) Как вычисляются ошибки двойных измерений?</w:t>
      </w: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0BD7"/>
    <w:multiLevelType w:val="hybridMultilevel"/>
    <w:tmpl w:val="E5B4BCF0"/>
    <w:lvl w:ilvl="0" w:tplc="FFFFFFFF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defaultTabStop w:val="708"/>
  <w:characterSpacingControl w:val="doNotCompress"/>
  <w:compat/>
  <w:rsids>
    <w:rsidRoot w:val="00075C36"/>
    <w:rsid w:val="00075C36"/>
    <w:rsid w:val="003F17E2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C36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75C36"/>
    <w:pPr>
      <w:keepNext/>
      <w:jc w:val="both"/>
      <w:outlineLvl w:val="0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5C36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1107</Words>
  <Characters>6310</Characters>
  <Application>Microsoft Office Word</Application>
  <DocSecurity>0</DocSecurity>
  <Lines>52</Lines>
  <Paragraphs>14</Paragraphs>
  <ScaleCrop>false</ScaleCrop>
  <Company/>
  <LinksUpToDate>false</LinksUpToDate>
  <CharactersWithSpaces>7403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2021-01-20T02:48:00Z</dcterms:created>
  <dcterms:modified xsi:type="dcterms:W3CDTF">2021-01-20T02:48:00Z</dcterms:modified>
</cp:coreProperties>
</file>